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DB1D7" w14:textId="02DDF0FF" w:rsidR="007D734D" w:rsidRPr="00043218" w:rsidRDefault="0040547E" w:rsidP="00AB1F3E">
      <w:pPr>
        <w:spacing w:line="228" w:lineRule="auto"/>
        <w:rPr>
          <w:b/>
          <w:bCs/>
          <w:sz w:val="28"/>
          <w:szCs w:val="28"/>
        </w:rPr>
      </w:pPr>
      <w:r w:rsidRPr="00043218">
        <w:rPr>
          <w:b/>
          <w:bCs/>
          <w:sz w:val="28"/>
          <w:szCs w:val="28"/>
        </w:rPr>
        <w:t>Völkerrechtsbasiertes Handeln für einen gerechten Frieden in Palästina und Israel!</w:t>
      </w:r>
    </w:p>
    <w:p w14:paraId="1CBCFC7C" w14:textId="4D545D22" w:rsidR="0040547E" w:rsidRPr="008F4D42" w:rsidRDefault="0040547E" w:rsidP="00AB1F3E">
      <w:pPr>
        <w:spacing w:after="80" w:line="240" w:lineRule="auto"/>
        <w:jc w:val="both"/>
        <w:rPr>
          <w:sz w:val="21"/>
          <w:szCs w:val="21"/>
        </w:rPr>
      </w:pPr>
      <w:r w:rsidRPr="008F4D42">
        <w:rPr>
          <w:sz w:val="21"/>
          <w:szCs w:val="21"/>
        </w:rPr>
        <w:t>Sehr geehrte/r … (</w:t>
      </w:r>
      <w:r w:rsidR="00043218" w:rsidRPr="008F4D42">
        <w:rPr>
          <w:i/>
          <w:iCs/>
          <w:sz w:val="21"/>
          <w:szCs w:val="21"/>
        </w:rPr>
        <w:t xml:space="preserve">Ihre </w:t>
      </w:r>
      <w:r w:rsidRPr="008F4D42">
        <w:rPr>
          <w:i/>
          <w:iCs/>
          <w:sz w:val="21"/>
          <w:szCs w:val="21"/>
        </w:rPr>
        <w:t>Abgeordnet</w:t>
      </w:r>
      <w:r w:rsidR="00043218" w:rsidRPr="008F4D42">
        <w:rPr>
          <w:i/>
          <w:iCs/>
          <w:sz w:val="21"/>
          <w:szCs w:val="21"/>
        </w:rPr>
        <w:t>en</w:t>
      </w:r>
      <w:r w:rsidRPr="008F4D42">
        <w:rPr>
          <w:i/>
          <w:iCs/>
          <w:sz w:val="21"/>
          <w:szCs w:val="21"/>
        </w:rPr>
        <w:t xml:space="preserve"> finden</w:t>
      </w:r>
      <w:r w:rsidR="00043218" w:rsidRPr="008F4D42">
        <w:rPr>
          <w:i/>
          <w:iCs/>
          <w:sz w:val="21"/>
          <w:szCs w:val="21"/>
        </w:rPr>
        <w:t xml:space="preserve"> Sie hier:</w:t>
      </w:r>
      <w:r w:rsidRPr="008F4D42">
        <w:rPr>
          <w:i/>
          <w:iCs/>
          <w:sz w:val="21"/>
          <w:szCs w:val="21"/>
        </w:rPr>
        <w:t xml:space="preserve"> </w:t>
      </w:r>
      <w:hyperlink r:id="rId7" w:history="1">
        <w:r w:rsidRPr="008F4D42">
          <w:rPr>
            <w:rStyle w:val="Hyperlink"/>
            <w:i/>
            <w:iCs/>
            <w:sz w:val="21"/>
            <w:szCs w:val="21"/>
          </w:rPr>
          <w:t>https://www.bundestag.de/abgeordnete/wahlkreise</w:t>
        </w:r>
      </w:hyperlink>
      <w:r w:rsidRPr="008F4D42">
        <w:rPr>
          <w:sz w:val="21"/>
          <w:szCs w:val="21"/>
        </w:rPr>
        <w:t>),</w:t>
      </w:r>
    </w:p>
    <w:p w14:paraId="77C1D8EA" w14:textId="2B52D00D" w:rsidR="0040547E" w:rsidRPr="008F4D42" w:rsidRDefault="002B36E3" w:rsidP="00AB1F3E">
      <w:pPr>
        <w:spacing w:after="80" w:line="240" w:lineRule="auto"/>
        <w:jc w:val="both"/>
        <w:rPr>
          <w:sz w:val="21"/>
          <w:szCs w:val="21"/>
        </w:rPr>
      </w:pPr>
      <w:proofErr w:type="spellStart"/>
      <w:proofErr w:type="gramStart"/>
      <w:r w:rsidRPr="008F4D42">
        <w:rPr>
          <w:sz w:val="21"/>
          <w:szCs w:val="21"/>
        </w:rPr>
        <w:t>Palästinenser:innen</w:t>
      </w:r>
      <w:proofErr w:type="spellEnd"/>
      <w:proofErr w:type="gramEnd"/>
      <w:r w:rsidR="009F66FB">
        <w:rPr>
          <w:sz w:val="21"/>
          <w:szCs w:val="21"/>
        </w:rPr>
        <w:t xml:space="preserve"> im Westjordanland einschließlich Ost-Jerusalem leiden</w:t>
      </w:r>
      <w:r w:rsidR="004E2853" w:rsidRPr="008F4D42">
        <w:rPr>
          <w:sz w:val="21"/>
          <w:szCs w:val="21"/>
        </w:rPr>
        <w:t xml:space="preserve"> tagtäglich unter den </w:t>
      </w:r>
      <w:r w:rsidR="00B91EFC" w:rsidRPr="008F4D42">
        <w:rPr>
          <w:sz w:val="21"/>
          <w:szCs w:val="21"/>
        </w:rPr>
        <w:t xml:space="preserve">Auswirkungen der </w:t>
      </w:r>
      <w:r w:rsidR="004E2853" w:rsidRPr="008F4D42">
        <w:rPr>
          <w:sz w:val="21"/>
          <w:szCs w:val="21"/>
        </w:rPr>
        <w:t>anhaltenden, systematischen und völkerrechtswidrigen Besiedlungs- und Annexionsbestrebungen der israelischen Regierung,</w:t>
      </w:r>
      <w:r w:rsidR="0013148E" w:rsidRPr="008F4D42">
        <w:rPr>
          <w:sz w:val="21"/>
          <w:szCs w:val="21"/>
        </w:rPr>
        <w:t xml:space="preserve"> </w:t>
      </w:r>
      <w:r w:rsidR="004E2853" w:rsidRPr="008F4D42">
        <w:rPr>
          <w:sz w:val="21"/>
          <w:szCs w:val="21"/>
        </w:rPr>
        <w:t xml:space="preserve">durch Siedlergewalt, Hauszerstörungen, Einschränkung der Bewegungsfreiheit, Verlust der Lebensgrundlagen und erzwungener Umsiedlung. </w:t>
      </w:r>
      <w:r w:rsidR="009F66FB">
        <w:rPr>
          <w:sz w:val="21"/>
          <w:szCs w:val="21"/>
        </w:rPr>
        <w:t>D</w:t>
      </w:r>
      <w:r w:rsidR="009F66FB" w:rsidRPr="009F66FB">
        <w:rPr>
          <w:sz w:val="21"/>
          <w:szCs w:val="21"/>
        </w:rPr>
        <w:t xml:space="preserve">ie Bundesrepublik Deutschland ist aus historischen Gründen dem jüdischen Volk und den Menschen in Israel besonders verbunden. </w:t>
      </w:r>
      <w:r w:rsidR="009F66FB">
        <w:rPr>
          <w:sz w:val="21"/>
          <w:szCs w:val="21"/>
        </w:rPr>
        <w:t>Dies</w:t>
      </w:r>
      <w:r w:rsidR="009F66FB" w:rsidRPr="009F66FB">
        <w:rPr>
          <w:sz w:val="21"/>
          <w:szCs w:val="21"/>
        </w:rPr>
        <w:t xml:space="preserve"> entbindet die Bundesregierung jedoch nicht von ihren völkerrechtlichen Verpflichtungen gegenüber den </w:t>
      </w:r>
      <w:proofErr w:type="spellStart"/>
      <w:proofErr w:type="gramStart"/>
      <w:r w:rsidR="009F66FB">
        <w:rPr>
          <w:sz w:val="21"/>
          <w:szCs w:val="21"/>
        </w:rPr>
        <w:t>Palästinenser:innen</w:t>
      </w:r>
      <w:proofErr w:type="spellEnd"/>
      <w:proofErr w:type="gramEnd"/>
      <w:r w:rsidR="009F66FB">
        <w:rPr>
          <w:sz w:val="21"/>
          <w:szCs w:val="21"/>
        </w:rPr>
        <w:t xml:space="preserve">. </w:t>
      </w:r>
      <w:r w:rsidR="004E2853" w:rsidRPr="008F4D42">
        <w:rPr>
          <w:sz w:val="21"/>
          <w:szCs w:val="21"/>
        </w:rPr>
        <w:t xml:space="preserve">Es gibt keinen anderen Weg, als </w:t>
      </w:r>
      <w:r w:rsidR="004E2853" w:rsidRPr="008F4D42">
        <w:rPr>
          <w:b/>
          <w:bCs/>
          <w:color w:val="C45911" w:themeColor="accent2" w:themeShade="BF"/>
          <w:sz w:val="21"/>
          <w:szCs w:val="21"/>
        </w:rPr>
        <w:t xml:space="preserve">Sicherheit und Frieden für Israelis zusammenzudenken mit Freiheit, Sicherheit und Frieden für </w:t>
      </w:r>
      <w:proofErr w:type="spellStart"/>
      <w:proofErr w:type="gramStart"/>
      <w:r w:rsidR="004E2853" w:rsidRPr="008F4D42">
        <w:rPr>
          <w:b/>
          <w:bCs/>
          <w:color w:val="C45911" w:themeColor="accent2" w:themeShade="BF"/>
          <w:sz w:val="21"/>
          <w:szCs w:val="21"/>
        </w:rPr>
        <w:t>Palästinenser:innen</w:t>
      </w:r>
      <w:proofErr w:type="spellEnd"/>
      <w:proofErr w:type="gramEnd"/>
      <w:r w:rsidR="004E2853" w:rsidRPr="008F4D42">
        <w:rPr>
          <w:sz w:val="21"/>
          <w:szCs w:val="21"/>
        </w:rPr>
        <w:t xml:space="preserve">, da die Alternative eine endlose </w:t>
      </w:r>
      <w:r w:rsidR="002207BB" w:rsidRPr="008F4D42">
        <w:rPr>
          <w:sz w:val="21"/>
          <w:szCs w:val="21"/>
        </w:rPr>
        <w:t xml:space="preserve">Spirale der Gewalt und eine sich nur noch weiter verschärfende </w:t>
      </w:r>
      <w:r w:rsidR="004E2853" w:rsidRPr="008F4D42">
        <w:rPr>
          <w:sz w:val="21"/>
          <w:szCs w:val="21"/>
        </w:rPr>
        <w:t xml:space="preserve">Unrechtssituation wäre. </w:t>
      </w:r>
    </w:p>
    <w:p w14:paraId="5433BDB1" w14:textId="77777777" w:rsidR="0040547E" w:rsidRPr="008F4D42" w:rsidRDefault="0040547E" w:rsidP="008F4D42">
      <w:pPr>
        <w:pStyle w:val="Listenabsatz"/>
        <w:numPr>
          <w:ilvl w:val="0"/>
          <w:numId w:val="1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Im Westjordanland einschließlich Ost-Jerusalem leben heute etwa </w:t>
      </w:r>
      <w:r w:rsidRPr="008F4D42">
        <w:rPr>
          <w:b/>
          <w:bCs/>
          <w:sz w:val="21"/>
          <w:szCs w:val="21"/>
        </w:rPr>
        <w:t xml:space="preserve">750.000 </w:t>
      </w:r>
      <w:proofErr w:type="spellStart"/>
      <w:proofErr w:type="gramStart"/>
      <w:r w:rsidRPr="008F4D42">
        <w:rPr>
          <w:b/>
          <w:bCs/>
          <w:sz w:val="21"/>
          <w:szCs w:val="21"/>
        </w:rPr>
        <w:t>Siedler:innen</w:t>
      </w:r>
      <w:proofErr w:type="spellEnd"/>
      <w:proofErr w:type="gramEnd"/>
      <w:r w:rsidRPr="008F4D42">
        <w:rPr>
          <w:b/>
          <w:bCs/>
          <w:sz w:val="21"/>
          <w:szCs w:val="21"/>
        </w:rPr>
        <w:t xml:space="preserve"> in fast 500 völkerrechtswidrigen Siedlungen und Siedlungsaußenposten</w:t>
      </w:r>
      <w:r w:rsidRPr="008F4D42">
        <w:rPr>
          <w:sz w:val="21"/>
          <w:szCs w:val="21"/>
        </w:rPr>
        <w:t xml:space="preserve">. Die Beschleunigung von Planungsprozessen hat dazu geführt, dass </w:t>
      </w:r>
      <w:r w:rsidRPr="008F4D42">
        <w:rPr>
          <w:b/>
          <w:bCs/>
          <w:sz w:val="21"/>
          <w:szCs w:val="21"/>
        </w:rPr>
        <w:t>2025 doppelt so viele Wohneinheiten in Siedlungen</w:t>
      </w:r>
      <w:r w:rsidRPr="008F4D42">
        <w:rPr>
          <w:sz w:val="21"/>
          <w:szCs w:val="21"/>
        </w:rPr>
        <w:t xml:space="preserve"> (mehr als 25.000) geplant wurden wie im bisherigen Rekordjahr 2023. </w:t>
      </w:r>
    </w:p>
    <w:p w14:paraId="60011B6C" w14:textId="77777777" w:rsidR="0040547E" w:rsidRPr="008F4D42" w:rsidRDefault="0040547E" w:rsidP="008F4D42">
      <w:pPr>
        <w:pStyle w:val="Listenabsatz"/>
        <w:numPr>
          <w:ilvl w:val="0"/>
          <w:numId w:val="1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Im Gegensatz dazu haben </w:t>
      </w:r>
      <w:r w:rsidRPr="008F4D42">
        <w:rPr>
          <w:b/>
          <w:bCs/>
          <w:sz w:val="21"/>
          <w:szCs w:val="21"/>
        </w:rPr>
        <w:t xml:space="preserve">seit 2009 etwa 17.000 </w:t>
      </w:r>
      <w:proofErr w:type="spellStart"/>
      <w:proofErr w:type="gramStart"/>
      <w:r w:rsidRPr="008F4D42">
        <w:rPr>
          <w:b/>
          <w:bCs/>
          <w:sz w:val="21"/>
          <w:szCs w:val="21"/>
        </w:rPr>
        <w:t>Palästinenser:innen</w:t>
      </w:r>
      <w:proofErr w:type="spellEnd"/>
      <w:proofErr w:type="gramEnd"/>
      <w:r w:rsidRPr="008F4D42">
        <w:rPr>
          <w:rStyle w:val="Endnotenzeichen"/>
          <w:sz w:val="21"/>
          <w:szCs w:val="21"/>
        </w:rPr>
        <w:endnoteReference w:id="1"/>
      </w:r>
      <w:r w:rsidRPr="008F4D42">
        <w:rPr>
          <w:sz w:val="21"/>
          <w:szCs w:val="21"/>
        </w:rPr>
        <w:t xml:space="preserve"> im Westjordanland einschließlich Ost-Jerusalem </w:t>
      </w:r>
      <w:r w:rsidRPr="008F4D42">
        <w:rPr>
          <w:b/>
          <w:bCs/>
          <w:sz w:val="21"/>
          <w:szCs w:val="21"/>
        </w:rPr>
        <w:t>ihr Zuhause durch Zerstörung auf der Grundlage fehlender Baugenehmigungen verloren</w:t>
      </w:r>
      <w:r w:rsidRPr="008F4D42">
        <w:rPr>
          <w:sz w:val="21"/>
          <w:szCs w:val="21"/>
        </w:rPr>
        <w:t xml:space="preserve">, die sie in einem diskriminierenden Planungssystem von den israelischen Behörden nicht erhalten; auch </w:t>
      </w:r>
      <w:r w:rsidRPr="008F4D42">
        <w:rPr>
          <w:b/>
          <w:bCs/>
          <w:sz w:val="21"/>
          <w:szCs w:val="21"/>
        </w:rPr>
        <w:t>für 84 Schulen</w:t>
      </w:r>
      <w:r w:rsidRPr="008F4D42">
        <w:rPr>
          <w:sz w:val="21"/>
          <w:szCs w:val="21"/>
        </w:rPr>
        <w:t xml:space="preserve"> liegen </w:t>
      </w:r>
      <w:r w:rsidRPr="008F4D42">
        <w:rPr>
          <w:b/>
          <w:bCs/>
          <w:sz w:val="21"/>
          <w:szCs w:val="21"/>
        </w:rPr>
        <w:t>Zerstörungsanordnungen</w:t>
      </w:r>
      <w:r w:rsidRPr="008F4D42">
        <w:rPr>
          <w:sz w:val="21"/>
          <w:szCs w:val="21"/>
        </w:rPr>
        <w:t xml:space="preserve"> vor (54 vollständig, 30 teilweise)</w:t>
      </w:r>
      <w:r w:rsidRPr="008F4D42">
        <w:rPr>
          <w:rStyle w:val="Endnotenzeichen"/>
          <w:sz w:val="21"/>
          <w:szCs w:val="21"/>
        </w:rPr>
        <w:endnoteReference w:id="2"/>
      </w:r>
      <w:r w:rsidRPr="008F4D42">
        <w:rPr>
          <w:sz w:val="21"/>
          <w:szCs w:val="21"/>
        </w:rPr>
        <w:t xml:space="preserve">. Darüber hinaus mussten mehr als </w:t>
      </w:r>
      <w:r w:rsidRPr="008F4D42">
        <w:rPr>
          <w:b/>
          <w:bCs/>
          <w:sz w:val="21"/>
          <w:szCs w:val="21"/>
        </w:rPr>
        <w:t>33.000 Menschen</w:t>
      </w:r>
      <w:r w:rsidRPr="008F4D42">
        <w:rPr>
          <w:sz w:val="21"/>
          <w:szCs w:val="21"/>
        </w:rPr>
        <w:t xml:space="preserve"> ihre Wohnungen </w:t>
      </w:r>
      <w:r w:rsidRPr="008F4D42">
        <w:rPr>
          <w:b/>
          <w:bCs/>
          <w:sz w:val="21"/>
          <w:szCs w:val="21"/>
        </w:rPr>
        <w:t xml:space="preserve">in den Flüchtlingslagern von </w:t>
      </w:r>
      <w:proofErr w:type="spellStart"/>
      <w:r w:rsidRPr="008F4D42">
        <w:rPr>
          <w:b/>
          <w:bCs/>
          <w:sz w:val="21"/>
          <w:szCs w:val="21"/>
        </w:rPr>
        <w:t>Jenin</w:t>
      </w:r>
      <w:proofErr w:type="spellEnd"/>
      <w:r w:rsidRPr="008F4D42">
        <w:rPr>
          <w:b/>
          <w:bCs/>
          <w:sz w:val="21"/>
          <w:szCs w:val="21"/>
        </w:rPr>
        <w:t xml:space="preserve"> und </w:t>
      </w:r>
      <w:proofErr w:type="spellStart"/>
      <w:r w:rsidRPr="008F4D42">
        <w:rPr>
          <w:b/>
          <w:bCs/>
          <w:sz w:val="21"/>
          <w:szCs w:val="21"/>
        </w:rPr>
        <w:t>Tulkarem</w:t>
      </w:r>
      <w:proofErr w:type="spellEnd"/>
      <w:r w:rsidRPr="008F4D42">
        <w:rPr>
          <w:b/>
          <w:bCs/>
          <w:sz w:val="21"/>
          <w:szCs w:val="21"/>
        </w:rPr>
        <w:t xml:space="preserve"> aufgrund israelischer Militäroperationen verlassen</w:t>
      </w:r>
      <w:r w:rsidRPr="008F4D42">
        <w:rPr>
          <w:sz w:val="21"/>
          <w:szCs w:val="21"/>
        </w:rPr>
        <w:t>, ihre Rückkehr ist ungewiss.</w:t>
      </w:r>
    </w:p>
    <w:p w14:paraId="2585DC32" w14:textId="77777777" w:rsidR="0040547E" w:rsidRPr="008F4D42" w:rsidRDefault="0040547E" w:rsidP="008F4D42">
      <w:pPr>
        <w:pStyle w:val="Listenabsatz"/>
        <w:numPr>
          <w:ilvl w:val="0"/>
          <w:numId w:val="1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Das United </w:t>
      </w:r>
      <w:proofErr w:type="spellStart"/>
      <w:r w:rsidRPr="008F4D42">
        <w:rPr>
          <w:sz w:val="21"/>
          <w:szCs w:val="21"/>
        </w:rPr>
        <w:t>Nations</w:t>
      </w:r>
      <w:proofErr w:type="spellEnd"/>
      <w:r w:rsidRPr="008F4D42">
        <w:rPr>
          <w:sz w:val="21"/>
          <w:szCs w:val="21"/>
        </w:rPr>
        <w:t xml:space="preserve"> Office </w:t>
      </w:r>
      <w:proofErr w:type="spellStart"/>
      <w:r w:rsidRPr="008F4D42">
        <w:rPr>
          <w:sz w:val="21"/>
          <w:szCs w:val="21"/>
        </w:rPr>
        <w:t>for</w:t>
      </w:r>
      <w:proofErr w:type="spellEnd"/>
      <w:r w:rsidRPr="008F4D42">
        <w:rPr>
          <w:sz w:val="21"/>
          <w:szCs w:val="21"/>
        </w:rPr>
        <w:t xml:space="preserve"> </w:t>
      </w:r>
      <w:proofErr w:type="spellStart"/>
      <w:r w:rsidRPr="008F4D42">
        <w:rPr>
          <w:sz w:val="21"/>
          <w:szCs w:val="21"/>
        </w:rPr>
        <w:t>the</w:t>
      </w:r>
      <w:proofErr w:type="spellEnd"/>
      <w:r w:rsidRPr="008F4D42">
        <w:rPr>
          <w:sz w:val="21"/>
          <w:szCs w:val="21"/>
        </w:rPr>
        <w:t xml:space="preserve"> </w:t>
      </w:r>
      <w:proofErr w:type="spellStart"/>
      <w:r w:rsidRPr="008F4D42">
        <w:rPr>
          <w:sz w:val="21"/>
          <w:szCs w:val="21"/>
        </w:rPr>
        <w:t>Coordination</w:t>
      </w:r>
      <w:proofErr w:type="spellEnd"/>
      <w:r w:rsidRPr="008F4D42">
        <w:rPr>
          <w:sz w:val="21"/>
          <w:szCs w:val="21"/>
        </w:rPr>
        <w:t xml:space="preserve"> of </w:t>
      </w:r>
      <w:proofErr w:type="spellStart"/>
      <w:r w:rsidRPr="008F4D42">
        <w:rPr>
          <w:sz w:val="21"/>
          <w:szCs w:val="21"/>
        </w:rPr>
        <w:t>Humanitarian</w:t>
      </w:r>
      <w:proofErr w:type="spellEnd"/>
      <w:r w:rsidRPr="008F4D42">
        <w:rPr>
          <w:sz w:val="21"/>
          <w:szCs w:val="21"/>
        </w:rPr>
        <w:t xml:space="preserve"> Affairs hat von Januar 2018 bis März 2026 insgesamt </w:t>
      </w:r>
      <w:r w:rsidRPr="008F4D42">
        <w:rPr>
          <w:b/>
          <w:bCs/>
          <w:sz w:val="21"/>
          <w:szCs w:val="21"/>
        </w:rPr>
        <w:t xml:space="preserve">7.580 Angriffe von Siedlern auf </w:t>
      </w:r>
      <w:proofErr w:type="spellStart"/>
      <w:proofErr w:type="gramStart"/>
      <w:r w:rsidRPr="008F4D42">
        <w:rPr>
          <w:b/>
          <w:bCs/>
          <w:sz w:val="21"/>
          <w:szCs w:val="21"/>
        </w:rPr>
        <w:t>Palästinenser:innen</w:t>
      </w:r>
      <w:proofErr w:type="spellEnd"/>
      <w:proofErr w:type="gramEnd"/>
      <w:r w:rsidRPr="008F4D42">
        <w:rPr>
          <w:b/>
          <w:bCs/>
          <w:sz w:val="21"/>
          <w:szCs w:val="21"/>
        </w:rPr>
        <w:t xml:space="preserve"> und deren Eigentum</w:t>
      </w:r>
      <w:r w:rsidRPr="008F4D42">
        <w:rPr>
          <w:sz w:val="21"/>
          <w:szCs w:val="21"/>
        </w:rPr>
        <w:t xml:space="preserve"> im Westjordanland erfasst</w:t>
      </w:r>
      <w:r w:rsidRPr="008F4D42">
        <w:rPr>
          <w:rStyle w:val="Endnotenzeichen"/>
          <w:sz w:val="21"/>
          <w:szCs w:val="21"/>
        </w:rPr>
        <w:endnoteReference w:id="3"/>
      </w:r>
      <w:r w:rsidRPr="008F4D42">
        <w:rPr>
          <w:sz w:val="21"/>
          <w:szCs w:val="21"/>
        </w:rPr>
        <w:t xml:space="preserve">, wobei Anzahl und Brutalität der Übergriffe stark zugenommen haben. In diesem Zeitraum wurden </w:t>
      </w:r>
      <w:r w:rsidRPr="008F4D42">
        <w:rPr>
          <w:b/>
          <w:bCs/>
          <w:sz w:val="21"/>
          <w:szCs w:val="21"/>
        </w:rPr>
        <w:t>mehr als 80 palästinensische Hirten- und Beduinengemeinden ganz oder teilweise vertrieben</w:t>
      </w:r>
      <w:r w:rsidRPr="008F4D42">
        <w:rPr>
          <w:rStyle w:val="Endnotenzeichen"/>
          <w:b/>
          <w:bCs/>
          <w:sz w:val="21"/>
          <w:szCs w:val="21"/>
        </w:rPr>
        <w:endnoteReference w:id="4"/>
      </w:r>
      <w:r w:rsidRPr="008F4D42">
        <w:rPr>
          <w:sz w:val="21"/>
          <w:szCs w:val="21"/>
        </w:rPr>
        <w:t xml:space="preserve">. </w:t>
      </w:r>
    </w:p>
    <w:p w14:paraId="1B5D3B77" w14:textId="77777777" w:rsidR="0040547E" w:rsidRPr="008F4D42" w:rsidRDefault="0040547E" w:rsidP="008F4D42">
      <w:pPr>
        <w:pStyle w:val="Listenabsatz"/>
        <w:numPr>
          <w:ilvl w:val="0"/>
          <w:numId w:val="1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b/>
          <w:bCs/>
          <w:sz w:val="21"/>
          <w:szCs w:val="21"/>
        </w:rPr>
        <w:t>Strafverfolgung seitens der israelischen Behörden gibt es kaum, selbst bei Übergriffen mit Todesfolge</w:t>
      </w:r>
      <w:r w:rsidRPr="008F4D42">
        <w:rPr>
          <w:sz w:val="21"/>
          <w:szCs w:val="21"/>
        </w:rPr>
        <w:t>. Nur etwa 6% der Fälle von Siedlergewalt, die in den letzten Jahren zur Anzeige gebracht wurden, führten zu einer Anklage, und davon nur etwa die Hälfte zur Verurteilung</w:t>
      </w:r>
      <w:r w:rsidRPr="008F4D42">
        <w:rPr>
          <w:rStyle w:val="Endnotenzeichen"/>
          <w:sz w:val="21"/>
          <w:szCs w:val="21"/>
        </w:rPr>
        <w:endnoteReference w:id="5"/>
      </w:r>
      <w:r w:rsidRPr="008F4D42">
        <w:rPr>
          <w:sz w:val="21"/>
          <w:szCs w:val="21"/>
        </w:rPr>
        <w:t xml:space="preserve">. Palästinensische Sicherheitskräfte haben keinerlei Einflussmöglichkeit: Weder zum Schutz der Gemeinden noch zur Strafverfolgung von </w:t>
      </w:r>
      <w:proofErr w:type="spellStart"/>
      <w:proofErr w:type="gramStart"/>
      <w:r w:rsidRPr="008F4D42">
        <w:rPr>
          <w:sz w:val="21"/>
          <w:szCs w:val="21"/>
        </w:rPr>
        <w:t>Siedler:innen</w:t>
      </w:r>
      <w:proofErr w:type="spellEnd"/>
      <w:proofErr w:type="gramEnd"/>
      <w:r w:rsidRPr="008F4D42">
        <w:rPr>
          <w:sz w:val="21"/>
          <w:szCs w:val="21"/>
        </w:rPr>
        <w:t>.</w:t>
      </w:r>
    </w:p>
    <w:p w14:paraId="62BEFAC7" w14:textId="77777777" w:rsidR="0040547E" w:rsidRPr="008F4D42" w:rsidRDefault="0040547E" w:rsidP="008F4D42">
      <w:pPr>
        <w:pStyle w:val="Listenabsatz"/>
        <w:numPr>
          <w:ilvl w:val="0"/>
          <w:numId w:val="2"/>
        </w:numPr>
        <w:spacing w:after="12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Im Dezember 2025 gab es im Westjordanland </w:t>
      </w:r>
      <w:r w:rsidRPr="008F4D42">
        <w:rPr>
          <w:b/>
          <w:bCs/>
          <w:sz w:val="21"/>
          <w:szCs w:val="21"/>
        </w:rPr>
        <w:t xml:space="preserve">925 Checkpoints, Sperren und andere Hindernisse ausschließlich für </w:t>
      </w:r>
      <w:proofErr w:type="spellStart"/>
      <w:proofErr w:type="gramStart"/>
      <w:r w:rsidRPr="008F4D42">
        <w:rPr>
          <w:b/>
          <w:bCs/>
          <w:sz w:val="21"/>
          <w:szCs w:val="21"/>
        </w:rPr>
        <w:t>Palästinenser:innen</w:t>
      </w:r>
      <w:proofErr w:type="spellEnd"/>
      <w:proofErr w:type="gramEnd"/>
      <w:r w:rsidRPr="008F4D42">
        <w:rPr>
          <w:rStyle w:val="Endnotenzeichen"/>
          <w:sz w:val="21"/>
          <w:szCs w:val="21"/>
        </w:rPr>
        <w:endnoteReference w:id="6"/>
      </w:r>
      <w:r w:rsidRPr="008F4D42">
        <w:rPr>
          <w:sz w:val="21"/>
          <w:szCs w:val="21"/>
        </w:rPr>
        <w:t xml:space="preserve">. Die massiven Einschränkungen der Bewegungsfreiheit führen u.a. zu wirtschaftlichen Einbußen und verhindern oder erschweren den Zugang zu Farmland, Arbeit und medizinischer Versorgung. </w:t>
      </w:r>
    </w:p>
    <w:p w14:paraId="53A7871F" w14:textId="77777777" w:rsidR="0040547E" w:rsidRPr="008F4D42" w:rsidRDefault="0040547E" w:rsidP="008F4D42">
      <w:pPr>
        <w:spacing w:after="40" w:line="240" w:lineRule="auto"/>
        <w:jc w:val="both"/>
        <w:rPr>
          <w:b/>
          <w:bCs/>
          <w:color w:val="C45911" w:themeColor="accent2" w:themeShade="BF"/>
          <w:sz w:val="24"/>
          <w:szCs w:val="24"/>
        </w:rPr>
      </w:pPr>
      <w:r w:rsidRPr="008F4D42">
        <w:rPr>
          <w:b/>
          <w:bCs/>
          <w:color w:val="C45911" w:themeColor="accent2" w:themeShade="BF"/>
          <w:sz w:val="24"/>
          <w:szCs w:val="24"/>
        </w:rPr>
        <w:t>Auch in anderen Bereichen gibt es alarmierende Entwicklungen:</w:t>
      </w:r>
    </w:p>
    <w:p w14:paraId="5CF7A081" w14:textId="67F658A0" w:rsidR="0040547E" w:rsidRPr="008F4D42" w:rsidRDefault="0040547E" w:rsidP="008F4D42">
      <w:pPr>
        <w:pStyle w:val="Listenabsatz"/>
        <w:numPr>
          <w:ilvl w:val="0"/>
          <w:numId w:val="3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Im März 2026 verabschiedete das israelische Parlament ein Gesetz, das die </w:t>
      </w:r>
      <w:r w:rsidRPr="008F4D42">
        <w:rPr>
          <w:b/>
          <w:bCs/>
          <w:sz w:val="21"/>
          <w:szCs w:val="21"/>
        </w:rPr>
        <w:t>Anwendung der Todesstrafe</w:t>
      </w:r>
      <w:r w:rsidRPr="008F4D42">
        <w:rPr>
          <w:rStyle w:val="Endnotenzeichen"/>
          <w:b/>
          <w:bCs/>
          <w:sz w:val="21"/>
          <w:szCs w:val="21"/>
        </w:rPr>
        <w:endnoteReference w:id="7"/>
      </w:r>
      <w:r w:rsidRPr="008F4D42">
        <w:rPr>
          <w:sz w:val="21"/>
          <w:szCs w:val="21"/>
        </w:rPr>
        <w:t xml:space="preserve"> bei t</w:t>
      </w:r>
      <w:r w:rsidR="00D23F66">
        <w:rPr>
          <w:sz w:val="21"/>
          <w:szCs w:val="21"/>
        </w:rPr>
        <w:t>ödlichen Terrorakten</w:t>
      </w:r>
      <w:r w:rsidRPr="008F4D42">
        <w:rPr>
          <w:sz w:val="21"/>
          <w:szCs w:val="21"/>
        </w:rPr>
        <w:t xml:space="preserve"> </w:t>
      </w:r>
      <w:r w:rsidRPr="008F4D42">
        <w:rPr>
          <w:b/>
          <w:bCs/>
          <w:sz w:val="21"/>
          <w:szCs w:val="21"/>
        </w:rPr>
        <w:t xml:space="preserve">ausschließlich für </w:t>
      </w:r>
      <w:proofErr w:type="spellStart"/>
      <w:proofErr w:type="gramStart"/>
      <w:r w:rsidRPr="008F4D42">
        <w:rPr>
          <w:b/>
          <w:bCs/>
          <w:sz w:val="21"/>
          <w:szCs w:val="21"/>
        </w:rPr>
        <w:t>Palästinenser:innen</w:t>
      </w:r>
      <w:proofErr w:type="spellEnd"/>
      <w:proofErr w:type="gramEnd"/>
      <w:r w:rsidRPr="008F4D42">
        <w:rPr>
          <w:sz w:val="21"/>
          <w:szCs w:val="21"/>
        </w:rPr>
        <w:t xml:space="preserve"> vorsieht.</w:t>
      </w:r>
      <w:r w:rsidRPr="008F4D42">
        <w:rPr>
          <w:i/>
          <w:iCs/>
          <w:color w:val="EE0000"/>
          <w:sz w:val="21"/>
          <w:szCs w:val="21"/>
        </w:rPr>
        <w:t xml:space="preserve"> </w:t>
      </w:r>
    </w:p>
    <w:p w14:paraId="22D55273" w14:textId="77777777" w:rsidR="0040547E" w:rsidRPr="008F4D42" w:rsidRDefault="0040547E" w:rsidP="008F4D42">
      <w:pPr>
        <w:pStyle w:val="Listenabsatz"/>
        <w:numPr>
          <w:ilvl w:val="0"/>
          <w:numId w:val="3"/>
        </w:numPr>
        <w:spacing w:after="4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Ein aktuelles Gesetzesvorhaben der israelischen Regierung sieht sowohl die </w:t>
      </w:r>
      <w:r w:rsidRPr="008F4D42">
        <w:rPr>
          <w:b/>
          <w:bCs/>
          <w:sz w:val="21"/>
          <w:szCs w:val="21"/>
        </w:rPr>
        <w:t>Besteuerung israelischer besatzungskritischer Menschenrechtsorganisationen in Höhe von 23-46%</w:t>
      </w:r>
      <w:r w:rsidRPr="008F4D42">
        <w:rPr>
          <w:sz w:val="21"/>
          <w:szCs w:val="21"/>
        </w:rPr>
        <w:t xml:space="preserve"> vor, als auch die drastische Beschränkung des Zugangs dieser Organisationen zu israelischen Gerichten.</w:t>
      </w:r>
      <w:r w:rsidRPr="008F4D42">
        <w:rPr>
          <w:rStyle w:val="Endnotenzeichen"/>
          <w:sz w:val="21"/>
          <w:szCs w:val="21"/>
        </w:rPr>
        <w:endnoteReference w:id="8"/>
      </w:r>
    </w:p>
    <w:p w14:paraId="6CC8DA98" w14:textId="77777777" w:rsidR="0040547E" w:rsidRPr="008F4D42" w:rsidRDefault="0040547E" w:rsidP="008F4D42">
      <w:pPr>
        <w:pStyle w:val="Listenabsatz"/>
        <w:numPr>
          <w:ilvl w:val="0"/>
          <w:numId w:val="3"/>
        </w:numPr>
        <w:spacing w:after="120" w:line="240" w:lineRule="auto"/>
        <w:ind w:left="142" w:hanging="142"/>
        <w:contextualSpacing w:val="0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Zudem droht weiterhin die Umsetzung eines Vorhabens der israelischen Regierung, </w:t>
      </w:r>
      <w:r w:rsidRPr="008F4D42">
        <w:rPr>
          <w:b/>
          <w:bCs/>
          <w:sz w:val="21"/>
          <w:szCs w:val="21"/>
        </w:rPr>
        <w:t>internationalen NGOs</w:t>
      </w:r>
      <w:r w:rsidRPr="008F4D42">
        <w:rPr>
          <w:sz w:val="21"/>
          <w:szCs w:val="21"/>
        </w:rPr>
        <w:t xml:space="preserve">, die humanitäre Hilfe in Gaza und Westjordanland leisten, </w:t>
      </w:r>
      <w:r w:rsidRPr="008F4D42">
        <w:rPr>
          <w:b/>
          <w:bCs/>
          <w:sz w:val="21"/>
          <w:szCs w:val="21"/>
        </w:rPr>
        <w:t>die Registrierung zu entziehen</w:t>
      </w:r>
      <w:r w:rsidRPr="008F4D42">
        <w:rPr>
          <w:sz w:val="21"/>
          <w:szCs w:val="21"/>
        </w:rPr>
        <w:t>, wenn diese nicht weitreichende Informationen zu ihren Angestellten übermitteln.</w:t>
      </w:r>
      <w:r w:rsidRPr="008F4D42">
        <w:rPr>
          <w:rStyle w:val="Endnotenzeichen"/>
          <w:sz w:val="21"/>
          <w:szCs w:val="21"/>
        </w:rPr>
        <w:endnoteReference w:id="9"/>
      </w:r>
    </w:p>
    <w:p w14:paraId="7076EABC" w14:textId="2DF31B07" w:rsidR="0040547E" w:rsidRPr="008F4D42" w:rsidRDefault="0040547E" w:rsidP="008F4D42">
      <w:pPr>
        <w:spacing w:after="40" w:line="240" w:lineRule="auto"/>
        <w:jc w:val="both"/>
        <w:rPr>
          <w:b/>
          <w:bCs/>
          <w:color w:val="C45911" w:themeColor="accent2" w:themeShade="BF"/>
          <w:sz w:val="24"/>
          <w:szCs w:val="24"/>
        </w:rPr>
      </w:pPr>
      <w:r w:rsidRPr="008F4D42">
        <w:rPr>
          <w:b/>
          <w:bCs/>
          <w:color w:val="C45911" w:themeColor="accent2" w:themeShade="BF"/>
          <w:sz w:val="24"/>
          <w:szCs w:val="24"/>
        </w:rPr>
        <w:t>D</w:t>
      </w:r>
      <w:r w:rsidR="009F66FB">
        <w:rPr>
          <w:b/>
          <w:bCs/>
          <w:color w:val="C45911" w:themeColor="accent2" w:themeShade="BF"/>
          <w:sz w:val="24"/>
          <w:szCs w:val="24"/>
        </w:rPr>
        <w:t>ie</w:t>
      </w:r>
      <w:r w:rsidRPr="008F4D42">
        <w:rPr>
          <w:b/>
          <w:bCs/>
          <w:color w:val="C45911" w:themeColor="accent2" w:themeShade="BF"/>
          <w:sz w:val="24"/>
          <w:szCs w:val="24"/>
        </w:rPr>
        <w:t xml:space="preserve"> </w:t>
      </w:r>
      <w:r w:rsidR="004C1A6E" w:rsidRPr="008F4D42">
        <w:rPr>
          <w:b/>
          <w:bCs/>
          <w:color w:val="C45911" w:themeColor="accent2" w:themeShade="BF"/>
          <w:sz w:val="24"/>
          <w:szCs w:val="24"/>
        </w:rPr>
        <w:t xml:space="preserve">deutsche </w:t>
      </w:r>
      <w:r w:rsidRPr="008F4D42">
        <w:rPr>
          <w:b/>
          <w:bCs/>
          <w:color w:val="C45911" w:themeColor="accent2" w:themeShade="BF"/>
          <w:sz w:val="24"/>
          <w:szCs w:val="24"/>
        </w:rPr>
        <w:t xml:space="preserve">Bundesregierung </w:t>
      </w:r>
      <w:r w:rsidR="009F66FB">
        <w:rPr>
          <w:b/>
          <w:bCs/>
          <w:color w:val="C45911" w:themeColor="accent2" w:themeShade="BF"/>
          <w:sz w:val="24"/>
          <w:szCs w:val="24"/>
        </w:rPr>
        <w:t>hat Handlungsmöglichkeiten</w:t>
      </w:r>
      <w:r w:rsidR="004C1A6E" w:rsidRPr="008F4D42">
        <w:rPr>
          <w:b/>
          <w:bCs/>
          <w:color w:val="C45911" w:themeColor="accent2" w:themeShade="BF"/>
          <w:sz w:val="24"/>
          <w:szCs w:val="24"/>
        </w:rPr>
        <w:t xml:space="preserve">, die auf die </w:t>
      </w:r>
      <w:r w:rsidR="004C1A6E" w:rsidRPr="009F66FB">
        <w:rPr>
          <w:b/>
          <w:bCs/>
          <w:color w:val="C45911" w:themeColor="accent2" w:themeShade="BF"/>
          <w:sz w:val="24"/>
          <w:szCs w:val="24"/>
          <w:u w:val="single"/>
        </w:rPr>
        <w:t xml:space="preserve">Veränderung der konkreten völkerrechtswidrigen </w:t>
      </w:r>
      <w:r w:rsidR="009F66FB">
        <w:rPr>
          <w:b/>
          <w:bCs/>
          <w:color w:val="C45911" w:themeColor="accent2" w:themeShade="BF"/>
          <w:sz w:val="24"/>
          <w:szCs w:val="24"/>
          <w:u w:val="single"/>
        </w:rPr>
        <w:t>S</w:t>
      </w:r>
      <w:r w:rsidR="004C1A6E" w:rsidRPr="009F66FB">
        <w:rPr>
          <w:b/>
          <w:bCs/>
          <w:color w:val="C45911" w:themeColor="accent2" w:themeShade="BF"/>
          <w:sz w:val="24"/>
          <w:szCs w:val="24"/>
          <w:u w:val="single"/>
        </w:rPr>
        <w:t>ituation</w:t>
      </w:r>
      <w:r w:rsidR="004C1A6E" w:rsidRPr="008F4D42">
        <w:rPr>
          <w:b/>
          <w:bCs/>
          <w:color w:val="C45911" w:themeColor="accent2" w:themeShade="BF"/>
          <w:sz w:val="24"/>
          <w:szCs w:val="24"/>
        </w:rPr>
        <w:t xml:space="preserve"> abzielen</w:t>
      </w:r>
      <w:r w:rsidR="009F66FB">
        <w:rPr>
          <w:b/>
          <w:bCs/>
          <w:color w:val="C45911" w:themeColor="accent2" w:themeShade="BF"/>
          <w:sz w:val="24"/>
          <w:szCs w:val="24"/>
        </w:rPr>
        <w:t xml:space="preserve"> würden und so mit dazu beitragen können, den Weg hin zu einem </w:t>
      </w:r>
      <w:r w:rsidR="009F66FB" w:rsidRPr="009F66FB">
        <w:rPr>
          <w:b/>
          <w:bCs/>
          <w:color w:val="C45911" w:themeColor="accent2" w:themeShade="BF"/>
          <w:sz w:val="24"/>
          <w:szCs w:val="24"/>
          <w:u w:val="single"/>
        </w:rPr>
        <w:t xml:space="preserve">gerechten Frieden für </w:t>
      </w:r>
      <w:proofErr w:type="spellStart"/>
      <w:r w:rsidR="009F66FB" w:rsidRPr="009F66FB">
        <w:rPr>
          <w:b/>
          <w:bCs/>
          <w:color w:val="C45911" w:themeColor="accent2" w:themeShade="BF"/>
          <w:sz w:val="24"/>
          <w:szCs w:val="24"/>
          <w:u w:val="single"/>
        </w:rPr>
        <w:t>Palästinenser:innen</w:t>
      </w:r>
      <w:proofErr w:type="spellEnd"/>
      <w:r w:rsidR="009F66FB" w:rsidRPr="009F66FB">
        <w:rPr>
          <w:b/>
          <w:bCs/>
          <w:color w:val="C45911" w:themeColor="accent2" w:themeShade="BF"/>
          <w:sz w:val="24"/>
          <w:szCs w:val="24"/>
          <w:u w:val="single"/>
        </w:rPr>
        <w:t xml:space="preserve"> und Israelis</w:t>
      </w:r>
      <w:r w:rsidR="009F66FB">
        <w:rPr>
          <w:b/>
          <w:bCs/>
          <w:color w:val="C45911" w:themeColor="accent2" w:themeShade="BF"/>
          <w:sz w:val="24"/>
          <w:szCs w:val="24"/>
        </w:rPr>
        <w:t xml:space="preserve"> zu ebnen</w:t>
      </w:r>
      <w:r w:rsidR="004C1A6E" w:rsidRPr="008F4D42">
        <w:rPr>
          <w:b/>
          <w:bCs/>
          <w:color w:val="C45911" w:themeColor="accent2" w:themeShade="BF"/>
          <w:sz w:val="24"/>
          <w:szCs w:val="24"/>
        </w:rPr>
        <w:t xml:space="preserve">, z.B. </w:t>
      </w:r>
    </w:p>
    <w:p w14:paraId="1D180F55" w14:textId="3EE772E4" w:rsidR="0040547E" w:rsidRPr="008F4D42" w:rsidRDefault="0040547E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t xml:space="preserve">eine mit wirksamen Konsequenzen verbundene Forderung nach </w:t>
      </w:r>
      <w:r w:rsidRPr="008F4D42">
        <w:rPr>
          <w:b/>
          <w:sz w:val="21"/>
          <w:szCs w:val="21"/>
        </w:rPr>
        <w:t>Rückkehr aller durch Siedlergewalt</w:t>
      </w:r>
      <w:r w:rsidRPr="008F4D42">
        <w:rPr>
          <w:bCs/>
          <w:sz w:val="21"/>
          <w:szCs w:val="21"/>
        </w:rPr>
        <w:t xml:space="preserve"> </w:t>
      </w:r>
      <w:r w:rsidRPr="008F4D42">
        <w:rPr>
          <w:b/>
          <w:sz w:val="21"/>
          <w:szCs w:val="21"/>
        </w:rPr>
        <w:t>vertriebenen palästinensischen Gemeinden</w:t>
      </w:r>
      <w:r w:rsidRPr="008F4D42">
        <w:rPr>
          <w:bCs/>
          <w:sz w:val="21"/>
          <w:szCs w:val="21"/>
        </w:rPr>
        <w:t xml:space="preserve"> und die </w:t>
      </w:r>
      <w:r w:rsidRPr="008F4D42">
        <w:rPr>
          <w:b/>
          <w:sz w:val="21"/>
          <w:szCs w:val="21"/>
        </w:rPr>
        <w:t>konsequente strafrechtliche Verfolgung gewalttätiger Siedler durch die zuständigen israelischen Behörden</w:t>
      </w:r>
    </w:p>
    <w:p w14:paraId="4511BAAD" w14:textId="77777777" w:rsidR="00270DC4" w:rsidRPr="008F4D42" w:rsidRDefault="00270DC4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/>
          <w:sz w:val="21"/>
          <w:szCs w:val="21"/>
        </w:rPr>
        <w:t xml:space="preserve">Sanktionen </w:t>
      </w:r>
      <w:r w:rsidRPr="008F4D42">
        <w:rPr>
          <w:bCs/>
          <w:sz w:val="21"/>
          <w:szCs w:val="21"/>
        </w:rPr>
        <w:t xml:space="preserve">gegen gewalttätige Siedler, </w:t>
      </w:r>
      <w:proofErr w:type="spellStart"/>
      <w:proofErr w:type="gramStart"/>
      <w:r w:rsidRPr="008F4D42">
        <w:rPr>
          <w:bCs/>
          <w:sz w:val="21"/>
          <w:szCs w:val="21"/>
        </w:rPr>
        <w:t>Vertreter:innen</w:t>
      </w:r>
      <w:proofErr w:type="spellEnd"/>
      <w:proofErr w:type="gramEnd"/>
      <w:r w:rsidRPr="008F4D42">
        <w:rPr>
          <w:bCs/>
          <w:sz w:val="21"/>
          <w:szCs w:val="21"/>
        </w:rPr>
        <w:t xml:space="preserve"> von Siedlerorganisationen und Mitglieder der israelischen Regierung, die völkerrechtswidrige Annexionsbestrebungen vorantreiben</w:t>
      </w:r>
    </w:p>
    <w:p w14:paraId="4EFB3F56" w14:textId="77777777" w:rsidR="00270DC4" w:rsidRPr="008F4D42" w:rsidRDefault="00270DC4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t xml:space="preserve">die Einführung eines </w:t>
      </w:r>
      <w:r w:rsidRPr="008F4D42">
        <w:rPr>
          <w:b/>
          <w:sz w:val="21"/>
          <w:szCs w:val="21"/>
        </w:rPr>
        <w:t>Importverbots für Waren und Dienstleistungen aus völkerrechtswidrigen Siedlungen</w:t>
      </w:r>
      <w:r w:rsidRPr="008F4D42">
        <w:rPr>
          <w:bCs/>
          <w:sz w:val="21"/>
          <w:szCs w:val="21"/>
        </w:rPr>
        <w:t xml:space="preserve"> (national oder auf EU-Ebene)</w:t>
      </w:r>
    </w:p>
    <w:p w14:paraId="073C5CBC" w14:textId="77777777" w:rsidR="0040547E" w:rsidRPr="008F4D42" w:rsidRDefault="0040547E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lastRenderedPageBreak/>
        <w:t xml:space="preserve">eine Zustimmung zur (teilweisen) </w:t>
      </w:r>
      <w:r w:rsidRPr="008F4D42">
        <w:rPr>
          <w:b/>
          <w:sz w:val="21"/>
          <w:szCs w:val="21"/>
        </w:rPr>
        <w:t>Aussetzung des EU-Israel-Assoziierungsabkommens</w:t>
      </w:r>
      <w:r w:rsidRPr="008F4D42">
        <w:rPr>
          <w:bCs/>
          <w:sz w:val="21"/>
          <w:szCs w:val="21"/>
        </w:rPr>
        <w:t>, das die Achtung der Menschenrechte und demokratischer Grundsätze als Voraussetzung der bilateralen Beziehungen benennt</w:t>
      </w:r>
    </w:p>
    <w:p w14:paraId="0A591FCC" w14:textId="49722D40" w:rsidR="0040547E" w:rsidRPr="008F4D42" w:rsidRDefault="0040547E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t xml:space="preserve">einen </w:t>
      </w:r>
      <w:r w:rsidRPr="008F4D42">
        <w:rPr>
          <w:b/>
          <w:sz w:val="21"/>
          <w:szCs w:val="21"/>
        </w:rPr>
        <w:t>Lieferstopp für Rüstungsgüter</w:t>
      </w:r>
      <w:r w:rsidRPr="008F4D42">
        <w:rPr>
          <w:bCs/>
          <w:sz w:val="21"/>
          <w:szCs w:val="21"/>
        </w:rPr>
        <w:t xml:space="preserve">, solange nicht ausgeschlossen werden kann, dass diese im Rahmen von Menschen- und Völkerrechtsverletzungen in den besetzten Gebieten zum Einsatz kommen könnten </w:t>
      </w:r>
    </w:p>
    <w:p w14:paraId="3C3ED51B" w14:textId="0F811328" w:rsidR="00270DC4" w:rsidRPr="008F4D42" w:rsidRDefault="00270DC4" w:rsidP="008F4D42">
      <w:pPr>
        <w:pStyle w:val="Listenabsatz"/>
        <w:numPr>
          <w:ilvl w:val="0"/>
          <w:numId w:val="4"/>
        </w:numPr>
        <w:spacing w:after="40" w:line="240" w:lineRule="auto"/>
        <w:ind w:left="284" w:hanging="284"/>
        <w:contextualSpacing w:val="0"/>
        <w:jc w:val="both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t>öffentliches Eintreten gegen das Todesstrafen-Gesetz, die Besteuerung israelischer Menschenrechts</w:t>
      </w:r>
      <w:r w:rsidR="008F4D42" w:rsidRPr="008F4D42">
        <w:rPr>
          <w:bCs/>
          <w:sz w:val="21"/>
          <w:szCs w:val="21"/>
        </w:rPr>
        <w:t>-</w:t>
      </w:r>
      <w:r w:rsidRPr="008F4D42">
        <w:rPr>
          <w:bCs/>
          <w:sz w:val="21"/>
          <w:szCs w:val="21"/>
        </w:rPr>
        <w:t>organisationen und die De-Registrierung internationaler NGOs, die humanitäre Hilfe leisten</w:t>
      </w:r>
    </w:p>
    <w:p w14:paraId="18259567" w14:textId="77777777" w:rsidR="0040547E" w:rsidRPr="008F4D42" w:rsidRDefault="0040547E" w:rsidP="008F4D42">
      <w:pPr>
        <w:pStyle w:val="Listenabsatz"/>
        <w:numPr>
          <w:ilvl w:val="0"/>
          <w:numId w:val="4"/>
        </w:numPr>
        <w:spacing w:after="120" w:line="240" w:lineRule="auto"/>
        <w:ind w:left="284" w:hanging="284"/>
        <w:contextualSpacing w:val="0"/>
        <w:rPr>
          <w:bCs/>
          <w:sz w:val="21"/>
          <w:szCs w:val="21"/>
        </w:rPr>
      </w:pPr>
      <w:r w:rsidRPr="008F4D42">
        <w:rPr>
          <w:bCs/>
          <w:sz w:val="21"/>
          <w:szCs w:val="21"/>
        </w:rPr>
        <w:t xml:space="preserve">Zusammenarbeit mit den Vereinten Nationen, Regierungen und zivilgesellschaftlichen Akteuren mit den </w:t>
      </w:r>
      <w:r w:rsidRPr="008F4D42">
        <w:rPr>
          <w:b/>
          <w:sz w:val="21"/>
          <w:szCs w:val="21"/>
        </w:rPr>
        <w:t xml:space="preserve">Zielen a) der Beendigung der völkerrechtswidrigen Besatzung und b) einer gerechten und dauerhaften Friedenslösung für Israelis und </w:t>
      </w:r>
      <w:proofErr w:type="spellStart"/>
      <w:proofErr w:type="gramStart"/>
      <w:r w:rsidRPr="008F4D42">
        <w:rPr>
          <w:b/>
          <w:sz w:val="21"/>
          <w:szCs w:val="21"/>
        </w:rPr>
        <w:t>Palästinenser:innen</w:t>
      </w:r>
      <w:proofErr w:type="spellEnd"/>
      <w:proofErr w:type="gramEnd"/>
      <w:r w:rsidRPr="008F4D42">
        <w:rPr>
          <w:bCs/>
          <w:sz w:val="21"/>
          <w:szCs w:val="21"/>
        </w:rPr>
        <w:t>, u.a. durch aktive Beteiligung an der Umsetzung des IGH- Gutachtens von 2024 und der New York Declaration von 2025</w:t>
      </w:r>
    </w:p>
    <w:p w14:paraId="3A6AA54A" w14:textId="77777777" w:rsidR="000B269D" w:rsidRPr="00AB1F3E" w:rsidRDefault="000B269D" w:rsidP="008F4D42">
      <w:pPr>
        <w:spacing w:after="40" w:line="240" w:lineRule="auto"/>
        <w:jc w:val="both"/>
        <w:rPr>
          <w:b/>
          <w:bCs/>
          <w:sz w:val="24"/>
          <w:szCs w:val="24"/>
        </w:rPr>
      </w:pPr>
      <w:r w:rsidRPr="00AB1F3E">
        <w:rPr>
          <w:b/>
          <w:bCs/>
          <w:sz w:val="24"/>
          <w:szCs w:val="24"/>
        </w:rPr>
        <w:t>Politisches Handeln im Sinne einer völker- und menschenrechtsbasierten Außenpolitik</w:t>
      </w:r>
    </w:p>
    <w:p w14:paraId="2853CB65" w14:textId="77777777" w:rsidR="000B269D" w:rsidRPr="008F4D42" w:rsidRDefault="000B269D" w:rsidP="008F4D42">
      <w:pPr>
        <w:spacing w:after="40" w:line="240" w:lineRule="auto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Der Internationale Gerichtshof kam in seinem </w:t>
      </w:r>
      <w:r w:rsidRPr="008F4D42">
        <w:rPr>
          <w:b/>
          <w:bCs/>
          <w:sz w:val="21"/>
          <w:szCs w:val="21"/>
        </w:rPr>
        <w:t>Rechtsgutachten</w:t>
      </w:r>
      <w:r w:rsidRPr="008F4D42">
        <w:rPr>
          <w:sz w:val="21"/>
          <w:szCs w:val="21"/>
        </w:rPr>
        <w:t xml:space="preserve"> von Juli 2024 (</w:t>
      </w:r>
      <w:r w:rsidRPr="008F4D42">
        <w:rPr>
          <w:i/>
          <w:iCs/>
          <w:sz w:val="21"/>
          <w:szCs w:val="21"/>
        </w:rPr>
        <w:t xml:space="preserve">Legal </w:t>
      </w:r>
      <w:proofErr w:type="spellStart"/>
      <w:r w:rsidRPr="008F4D42">
        <w:rPr>
          <w:i/>
          <w:iCs/>
          <w:sz w:val="21"/>
          <w:szCs w:val="21"/>
        </w:rPr>
        <w:t>Consequences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arising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from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the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Policies</w:t>
      </w:r>
      <w:proofErr w:type="spellEnd"/>
      <w:r w:rsidRPr="008F4D42">
        <w:rPr>
          <w:i/>
          <w:iCs/>
          <w:sz w:val="21"/>
          <w:szCs w:val="21"/>
        </w:rPr>
        <w:t xml:space="preserve"> and Practices of Israel in </w:t>
      </w:r>
      <w:proofErr w:type="spellStart"/>
      <w:r w:rsidRPr="008F4D42">
        <w:rPr>
          <w:i/>
          <w:iCs/>
          <w:sz w:val="21"/>
          <w:szCs w:val="21"/>
        </w:rPr>
        <w:t>the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Occupied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Palestinian</w:t>
      </w:r>
      <w:proofErr w:type="spellEnd"/>
      <w:r w:rsidRPr="008F4D42">
        <w:rPr>
          <w:i/>
          <w:iCs/>
          <w:sz w:val="21"/>
          <w:szCs w:val="21"/>
        </w:rPr>
        <w:t xml:space="preserve"> </w:t>
      </w:r>
      <w:proofErr w:type="spellStart"/>
      <w:r w:rsidRPr="008F4D42">
        <w:rPr>
          <w:i/>
          <w:iCs/>
          <w:sz w:val="21"/>
          <w:szCs w:val="21"/>
        </w:rPr>
        <w:t>Territory</w:t>
      </w:r>
      <w:proofErr w:type="spellEnd"/>
      <w:r w:rsidRPr="008F4D42">
        <w:rPr>
          <w:i/>
          <w:iCs/>
          <w:sz w:val="21"/>
          <w:szCs w:val="21"/>
        </w:rPr>
        <w:t xml:space="preserve">, </w:t>
      </w:r>
      <w:proofErr w:type="spellStart"/>
      <w:r w:rsidRPr="008F4D42">
        <w:rPr>
          <w:i/>
          <w:iCs/>
          <w:sz w:val="21"/>
          <w:szCs w:val="21"/>
        </w:rPr>
        <w:t>including</w:t>
      </w:r>
      <w:proofErr w:type="spellEnd"/>
      <w:r w:rsidRPr="008F4D42">
        <w:rPr>
          <w:i/>
          <w:iCs/>
          <w:sz w:val="21"/>
          <w:szCs w:val="21"/>
        </w:rPr>
        <w:t xml:space="preserve"> East Jerusalem</w:t>
      </w:r>
      <w:r w:rsidRPr="008F4D42">
        <w:rPr>
          <w:rStyle w:val="Endnotenzeichen"/>
          <w:i/>
          <w:iCs/>
          <w:sz w:val="21"/>
          <w:szCs w:val="21"/>
        </w:rPr>
        <w:endnoteReference w:id="10"/>
      </w:r>
      <w:r w:rsidRPr="008F4D42">
        <w:rPr>
          <w:sz w:val="21"/>
          <w:szCs w:val="21"/>
        </w:rPr>
        <w:t xml:space="preserve">) aufgrund der anhaltenden Rechtsverletzungen zu dem Schluss, dass </w:t>
      </w:r>
      <w:proofErr w:type="gramStart"/>
      <w:r w:rsidRPr="008F4D42">
        <w:rPr>
          <w:b/>
          <w:bCs/>
          <w:sz w:val="21"/>
          <w:szCs w:val="21"/>
        </w:rPr>
        <w:t>die israelische Präsenz</w:t>
      </w:r>
      <w:proofErr w:type="gramEnd"/>
      <w:r w:rsidRPr="008F4D42">
        <w:rPr>
          <w:b/>
          <w:bCs/>
          <w:sz w:val="21"/>
          <w:szCs w:val="21"/>
        </w:rPr>
        <w:t xml:space="preserve"> in den palästinensischen Gebieten als Ganzes völkerrechtswidrig ist und schnellstmöglich beendet werden muss</w:t>
      </w:r>
      <w:r w:rsidRPr="008F4D42">
        <w:rPr>
          <w:sz w:val="21"/>
          <w:szCs w:val="21"/>
        </w:rPr>
        <w:t>. Die Richter schlussfolgerten zudem, dass die israelischen Maßnahmen in den besetzten Gebieten einen Verstoß gegen Artikel 3 des Internationalen Übereinkommens zur Beseitigung jeder Form von Rassendiskriminierung (CERD) darstellt, der Staaten dazu verpflichtet, gegen Segregation und Apartheid vorzugehen.</w:t>
      </w:r>
    </w:p>
    <w:p w14:paraId="31AEAE6B" w14:textId="77777777" w:rsidR="000B269D" w:rsidRPr="008F4D42" w:rsidRDefault="000B269D" w:rsidP="008F4D42">
      <w:pPr>
        <w:spacing w:after="40" w:line="240" w:lineRule="auto"/>
        <w:jc w:val="both"/>
        <w:rPr>
          <w:sz w:val="21"/>
          <w:szCs w:val="21"/>
        </w:rPr>
      </w:pPr>
      <w:r w:rsidRPr="008F4D42">
        <w:rPr>
          <w:sz w:val="21"/>
          <w:szCs w:val="21"/>
        </w:rPr>
        <w:t xml:space="preserve">Das Gericht formulierte entsprechende Verpflichtungen für Drittstaaten wie Deutschland, u.a. keine Hilfe oder Unterstützung für die Aufrechterhaltung der Besatzung zu leisten. Die UN-Vollversammlung votierte im September 2024 für die Umsetzung des IGH-Gutachtens und damit die Beendigung der Besatzung. </w:t>
      </w:r>
    </w:p>
    <w:p w14:paraId="156618B7" w14:textId="77777777" w:rsidR="000B269D" w:rsidRPr="008F4D42" w:rsidRDefault="000B269D" w:rsidP="008F4D42">
      <w:pPr>
        <w:spacing w:after="40" w:line="240" w:lineRule="auto"/>
        <w:jc w:val="both"/>
        <w:rPr>
          <w:sz w:val="21"/>
          <w:szCs w:val="21"/>
          <w:lang w:val="en-GB"/>
        </w:rPr>
      </w:pPr>
      <w:r w:rsidRPr="008F4D42">
        <w:rPr>
          <w:sz w:val="21"/>
          <w:szCs w:val="21"/>
        </w:rPr>
        <w:t xml:space="preserve">In der Folge haben Staaten, einzeln oder im Verbund mit anderen, Maßnahmen ergriffen und u.a. den Prozess hin zu einer Zwei-Staaten-Lösung wieder in Gang gebracht. </w:t>
      </w:r>
      <w:r w:rsidRPr="008F4D42">
        <w:rPr>
          <w:sz w:val="21"/>
          <w:szCs w:val="21"/>
          <w:lang w:val="en-GB"/>
        </w:rPr>
        <w:t xml:space="preserve">So </w:t>
      </w:r>
      <w:proofErr w:type="spellStart"/>
      <w:r w:rsidRPr="008F4D42">
        <w:rPr>
          <w:sz w:val="21"/>
          <w:szCs w:val="21"/>
          <w:lang w:val="en-GB"/>
        </w:rPr>
        <w:t>erklärte</w:t>
      </w:r>
      <w:proofErr w:type="spellEnd"/>
      <w:r w:rsidRPr="008F4D42">
        <w:rPr>
          <w:sz w:val="21"/>
          <w:szCs w:val="21"/>
          <w:lang w:val="en-GB"/>
        </w:rPr>
        <w:t xml:space="preserve"> </w:t>
      </w:r>
      <w:proofErr w:type="spellStart"/>
      <w:r w:rsidRPr="008F4D42">
        <w:rPr>
          <w:sz w:val="21"/>
          <w:szCs w:val="21"/>
          <w:lang w:val="en-GB"/>
        </w:rPr>
        <w:t>auch</w:t>
      </w:r>
      <w:proofErr w:type="spellEnd"/>
      <w:r w:rsidRPr="008F4D42">
        <w:rPr>
          <w:sz w:val="21"/>
          <w:szCs w:val="21"/>
          <w:lang w:val="en-GB"/>
        </w:rPr>
        <w:t xml:space="preserve"> Deutschland am 12. September 2025 die </w:t>
      </w:r>
      <w:proofErr w:type="spellStart"/>
      <w:r w:rsidRPr="008F4D42">
        <w:rPr>
          <w:sz w:val="21"/>
          <w:szCs w:val="21"/>
          <w:lang w:val="en-GB"/>
        </w:rPr>
        <w:t>Zustimmung</w:t>
      </w:r>
      <w:proofErr w:type="spellEnd"/>
      <w:r w:rsidRPr="008F4D42">
        <w:rPr>
          <w:sz w:val="21"/>
          <w:szCs w:val="21"/>
          <w:lang w:val="en-GB"/>
        </w:rPr>
        <w:t xml:space="preserve"> </w:t>
      </w:r>
      <w:proofErr w:type="spellStart"/>
      <w:r w:rsidRPr="008F4D42">
        <w:rPr>
          <w:sz w:val="21"/>
          <w:szCs w:val="21"/>
          <w:lang w:val="en-GB"/>
        </w:rPr>
        <w:t>zur</w:t>
      </w:r>
      <w:proofErr w:type="spellEnd"/>
      <w:r w:rsidRPr="008F4D42">
        <w:rPr>
          <w:sz w:val="21"/>
          <w:szCs w:val="21"/>
          <w:lang w:val="en-GB"/>
        </w:rPr>
        <w:t xml:space="preserve"> </w:t>
      </w:r>
      <w:r w:rsidRPr="008F4D42">
        <w:rPr>
          <w:b/>
          <w:bCs/>
          <w:sz w:val="21"/>
          <w:szCs w:val="21"/>
          <w:lang w:val="en-GB"/>
        </w:rPr>
        <w:t>New York Declaration on the Peaceful Settlement of the Question of Palestine and the Implementation of the Two-State Solution</w:t>
      </w:r>
      <w:r w:rsidRPr="008F4D42">
        <w:rPr>
          <w:sz w:val="21"/>
          <w:szCs w:val="21"/>
          <w:lang w:val="en-GB"/>
        </w:rPr>
        <w:t>.</w:t>
      </w:r>
      <w:r w:rsidRPr="008F4D42">
        <w:rPr>
          <w:rStyle w:val="Endnotenzeichen"/>
          <w:sz w:val="21"/>
          <w:szCs w:val="21"/>
          <w:lang w:val="en-GB"/>
        </w:rPr>
        <w:endnoteReference w:id="11"/>
      </w:r>
    </w:p>
    <w:p w14:paraId="33EAC76F" w14:textId="5B5C6B8B" w:rsidR="0040547E" w:rsidRPr="008F4D42" w:rsidRDefault="000B269D" w:rsidP="008F4D42">
      <w:pPr>
        <w:spacing w:after="40" w:line="240" w:lineRule="auto"/>
        <w:jc w:val="both"/>
        <w:rPr>
          <w:sz w:val="21"/>
          <w:szCs w:val="21"/>
        </w:rPr>
      </w:pPr>
      <w:r w:rsidRPr="008F4D42">
        <w:rPr>
          <w:b/>
          <w:bCs/>
          <w:color w:val="C45911" w:themeColor="accent2" w:themeShade="BF"/>
          <w:sz w:val="21"/>
          <w:szCs w:val="21"/>
        </w:rPr>
        <w:t>Doch den regelmäßig getätigten Erklärungen müssen endlich Taten folgen.</w:t>
      </w:r>
      <w:r w:rsidRPr="008F4D42">
        <w:rPr>
          <w:color w:val="C45911" w:themeColor="accent2" w:themeShade="BF"/>
          <w:sz w:val="21"/>
          <w:szCs w:val="21"/>
        </w:rPr>
        <w:t xml:space="preserve"> </w:t>
      </w:r>
      <w:r w:rsidRPr="008F4D42">
        <w:rPr>
          <w:sz w:val="21"/>
          <w:szCs w:val="21"/>
        </w:rPr>
        <w:t xml:space="preserve">Gerechtigkeit und Frieden können erreicht werden, wenn der Preis für völkerrechtswidriges Handeln durch wirksame Konsequenzen zu hoch wird. </w:t>
      </w:r>
      <w:proofErr w:type="spellStart"/>
      <w:proofErr w:type="gramStart"/>
      <w:r w:rsidRPr="008F4D42">
        <w:rPr>
          <w:sz w:val="21"/>
          <w:szCs w:val="21"/>
        </w:rPr>
        <w:t>Palästinenser:innen</w:t>
      </w:r>
      <w:proofErr w:type="spellEnd"/>
      <w:proofErr w:type="gramEnd"/>
      <w:r w:rsidRPr="008F4D42">
        <w:rPr>
          <w:sz w:val="21"/>
          <w:szCs w:val="21"/>
        </w:rPr>
        <w:t xml:space="preserve"> unter Besatzung und israelische Friedens- und Menschenrechtsgruppen erwarten von uns mehr als Solidaritätsbekundungen. Sie fordern konkrete Maßnahmen, die ihre Bemühungen um eine Zukunft in Gerechtigkeit und Frieden wirksam unterstützen.</w:t>
      </w:r>
    </w:p>
    <w:p w14:paraId="0396ACF5" w14:textId="3601EE9B" w:rsidR="003C1821" w:rsidRPr="00AB1F3E" w:rsidRDefault="003C1821" w:rsidP="00AB1F3E">
      <w:pPr>
        <w:spacing w:after="120" w:line="240" w:lineRule="auto"/>
        <w:jc w:val="both"/>
        <w:rPr>
          <w:b/>
          <w:bCs/>
          <w:color w:val="C45911" w:themeColor="accent2" w:themeShade="BF"/>
          <w:sz w:val="24"/>
          <w:szCs w:val="24"/>
        </w:rPr>
      </w:pPr>
      <w:r w:rsidRPr="00AB1F3E">
        <w:rPr>
          <w:b/>
          <w:bCs/>
          <w:color w:val="C45911" w:themeColor="accent2" w:themeShade="BF"/>
          <w:sz w:val="24"/>
          <w:szCs w:val="24"/>
        </w:rPr>
        <w:t xml:space="preserve">Bitte setzen </w:t>
      </w:r>
      <w:r w:rsidR="008F4D42" w:rsidRPr="00AB1F3E">
        <w:rPr>
          <w:b/>
          <w:bCs/>
          <w:color w:val="C45911" w:themeColor="accent2" w:themeShade="BF"/>
          <w:sz w:val="24"/>
          <w:szCs w:val="24"/>
        </w:rPr>
        <w:t xml:space="preserve">daher </w:t>
      </w:r>
      <w:r w:rsidRPr="00AB1F3E">
        <w:rPr>
          <w:b/>
          <w:bCs/>
          <w:color w:val="C45911" w:themeColor="accent2" w:themeShade="BF"/>
          <w:sz w:val="24"/>
          <w:szCs w:val="24"/>
        </w:rPr>
        <w:t>auch Sie sich für konkrete Maßnahmen hin zu einem gerechten Frieden ein</w:t>
      </w:r>
      <w:r w:rsidR="00AB1F3E">
        <w:rPr>
          <w:b/>
          <w:bCs/>
          <w:color w:val="C45911" w:themeColor="accent2" w:themeShade="BF"/>
          <w:sz w:val="24"/>
          <w:szCs w:val="24"/>
        </w:rPr>
        <w:t>, vielen Dank!</w:t>
      </w:r>
    </w:p>
    <w:p w14:paraId="2667136D" w14:textId="7E3F34BB" w:rsidR="00986961" w:rsidRPr="008F4D42" w:rsidRDefault="00986961" w:rsidP="008F4D42">
      <w:pPr>
        <w:spacing w:after="40" w:line="240" w:lineRule="auto"/>
        <w:jc w:val="both"/>
        <w:rPr>
          <w:sz w:val="21"/>
          <w:szCs w:val="21"/>
        </w:rPr>
      </w:pPr>
      <w:r w:rsidRPr="008F4D42">
        <w:rPr>
          <w:sz w:val="21"/>
          <w:szCs w:val="21"/>
        </w:rPr>
        <w:t>Mit freundlichen Grüßen</w:t>
      </w:r>
    </w:p>
    <w:p w14:paraId="4929C05F" w14:textId="35114DE8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73E698C4" w14:textId="707F8F16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68A130CE" w14:textId="0ADA4BBF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739889FE" w14:textId="3DF2CA89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2650CDF3" w14:textId="1A41E4FB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6CFA2242" w14:textId="53013D34" w:rsidR="00A53911" w:rsidRDefault="00A53911" w:rsidP="008F4D42">
      <w:pPr>
        <w:spacing w:after="40" w:line="240" w:lineRule="auto"/>
        <w:jc w:val="both"/>
        <w:rPr>
          <w:sz w:val="21"/>
          <w:szCs w:val="21"/>
        </w:rPr>
      </w:pPr>
    </w:p>
    <w:p w14:paraId="7195DE36" w14:textId="77777777" w:rsidR="00A53911" w:rsidRDefault="00A53911" w:rsidP="008F4D42">
      <w:pPr>
        <w:spacing w:after="40" w:line="240" w:lineRule="auto"/>
        <w:jc w:val="both"/>
        <w:rPr>
          <w:sz w:val="21"/>
          <w:szCs w:val="21"/>
        </w:rPr>
      </w:pPr>
    </w:p>
    <w:p w14:paraId="7B016344" w14:textId="7F4A29A0" w:rsidR="00AB1F3E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5B2BDE21" w14:textId="77777777" w:rsidR="00AB1F3E" w:rsidRPr="008F4D42" w:rsidRDefault="00AB1F3E" w:rsidP="008F4D42">
      <w:pPr>
        <w:spacing w:after="40" w:line="240" w:lineRule="auto"/>
        <w:jc w:val="both"/>
        <w:rPr>
          <w:sz w:val="21"/>
          <w:szCs w:val="21"/>
        </w:rPr>
      </w:pPr>
    </w:p>
    <w:p w14:paraId="5EF80E82" w14:textId="77777777" w:rsidR="008F4D42" w:rsidRPr="008F4D42" w:rsidRDefault="008F4D42" w:rsidP="008F4D42">
      <w:pPr>
        <w:spacing w:after="40" w:line="228" w:lineRule="auto"/>
        <w:jc w:val="both"/>
        <w:rPr>
          <w:sz w:val="21"/>
          <w:szCs w:val="21"/>
        </w:rPr>
      </w:pPr>
    </w:p>
    <w:sectPr w:rsidR="008F4D42" w:rsidRPr="008F4D42" w:rsidSect="008F4D42">
      <w:pgSz w:w="11906" w:h="16838"/>
      <w:pgMar w:top="993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AD5ED" w14:textId="77777777" w:rsidR="0040547E" w:rsidRDefault="0040547E" w:rsidP="0040547E">
      <w:pPr>
        <w:spacing w:after="0" w:line="240" w:lineRule="auto"/>
      </w:pPr>
      <w:r>
        <w:separator/>
      </w:r>
    </w:p>
  </w:endnote>
  <w:endnote w:type="continuationSeparator" w:id="0">
    <w:p w14:paraId="6C06994B" w14:textId="77777777" w:rsidR="0040547E" w:rsidRDefault="0040547E" w:rsidP="0040547E">
      <w:pPr>
        <w:spacing w:after="0" w:line="240" w:lineRule="auto"/>
      </w:pPr>
      <w:r>
        <w:continuationSeparator/>
      </w:r>
    </w:p>
  </w:endnote>
  <w:endnote w:id="1">
    <w:p w14:paraId="74E13E0C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"https://www.ochaopt.org/data/demolition"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https://www.ochaopt.org/data/demolition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- more breakdowns - </w:t>
      </w:r>
      <w:proofErr w:type="spellStart"/>
      <w:r w:rsidRPr="00FF0267">
        <w:rPr>
          <w:i/>
          <w:iCs/>
          <w:sz w:val="16"/>
          <w:szCs w:val="16"/>
          <w:lang w:val="en-GB"/>
        </w:rPr>
        <w:t>unter</w:t>
      </w:r>
      <w:proofErr w:type="spellEnd"/>
      <w:r w:rsidRPr="00FF0267">
        <w:rPr>
          <w:i/>
          <w:iCs/>
          <w:sz w:val="16"/>
          <w:szCs w:val="16"/>
          <w:lang w:val="en-GB"/>
        </w:rPr>
        <w:t xml:space="preserve"> “context” “lack of permits” </w:t>
      </w:r>
      <w:proofErr w:type="spellStart"/>
      <w:r w:rsidRPr="00FF0267">
        <w:rPr>
          <w:i/>
          <w:iCs/>
          <w:sz w:val="16"/>
          <w:szCs w:val="16"/>
          <w:lang w:val="en-GB"/>
        </w:rPr>
        <w:t>ausgewählt</w:t>
      </w:r>
      <w:proofErr w:type="spellEnd"/>
      <w:r w:rsidRPr="00FF0267">
        <w:rPr>
          <w:i/>
          <w:iCs/>
          <w:sz w:val="16"/>
          <w:szCs w:val="16"/>
          <w:lang w:val="en-GB"/>
        </w:rPr>
        <w:t xml:space="preserve">; Stand 22.04.2026 </w:t>
      </w:r>
    </w:p>
  </w:endnote>
  <w:endnote w:id="2">
    <w:p w14:paraId="001643F4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"https://www.ochaopt.org/content/humanitarian-situation-update-299-west-bank"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https://www.ochaopt.org/content/humanitarian-situation-update-299-west-bank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3">
    <w:p w14:paraId="7139A933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"https://www.ochaopt.org/content/west-bank-monthly-snapshot-casualties-pro</w:instrText>
      </w:r>
      <w:r w:rsidR="00A53911" w:rsidRPr="00D23F66">
        <w:rPr>
          <w:lang w:val="en-GB"/>
        </w:rPr>
        <w:instrText xml:space="preserve">perty-damage-and-displacement-march-2026"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https://www.ochaopt.org/content/west-bank-monthly-snapshot-casualties-property-damage-and-displacement-march-2026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4">
    <w:p w14:paraId="4C1D0742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"https://www.btselem.org/settler_violence_updates_list?importance=1"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https://www.btselem.org/settler_violence_updates_list?importance=1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5">
    <w:p w14:paraId="10AC4EAA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"https://www.yesh-din.org/en/category/settler-violence/"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https://www.yesh-din.org/en/category/settler-violence/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6">
    <w:p w14:paraId="3D528183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"https://www.ochaopt.org/content/movement-and-access-west</w:instrText>
      </w:r>
      <w:r w:rsidR="00A53911" w:rsidRPr="00D23F66">
        <w:rPr>
          <w:lang w:val="en-GB"/>
        </w:rPr>
        <w:instrText xml:space="preserve">-bank-april-2026"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https://www.ochaopt.org/content/movement-and-access-west-bank-april-2026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7">
    <w:p w14:paraId="213F4972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"https://www.english.acri.org.il/post/the-death-penalty-bill-q-a"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https://www.english.acri.org.il/post/the-death-penalty-bill-q-a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8">
    <w:p w14:paraId="13F15F80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</w:instrText>
      </w:r>
      <w:r w:rsidR="00A53911" w:rsidRPr="00D23F66">
        <w:rPr>
          <w:lang w:val="en-GB"/>
        </w:rPr>
        <w:instrText xml:space="preserve">https://www.english.acri.org.il/post/a-hollow-democracy"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https://www.english.acri.org.il/post/a-hollow-democracy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9">
    <w:p w14:paraId="2DE9771C" w14:textId="77777777" w:rsidR="0040547E" w:rsidRPr="00FF0267" w:rsidRDefault="0040547E" w:rsidP="0040547E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"https://www.msf.org/msf-reaffirms-decision-challenge-israel-ban-37-ngos-operating-palestine"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https://www.msf.org/msf-reaffirms-decision-challenge-israel-ban-37-ngos-operating-palestine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10">
    <w:p w14:paraId="010651C7" w14:textId="77777777" w:rsidR="000B269D" w:rsidRPr="00FF0267" w:rsidRDefault="000B269D" w:rsidP="000B269D">
      <w:pPr>
        <w:pStyle w:val="Endnotentext"/>
        <w:rPr>
          <w:i/>
          <w:iCs/>
          <w:sz w:val="16"/>
          <w:szCs w:val="16"/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"https://www.icj-cij.org/case/186"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https://www.icj-cij.org/case/186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 w:rsidRPr="00FF0267">
        <w:rPr>
          <w:i/>
          <w:iCs/>
          <w:sz w:val="16"/>
          <w:szCs w:val="16"/>
          <w:lang w:val="en-GB"/>
        </w:rPr>
        <w:t xml:space="preserve"> </w:t>
      </w:r>
    </w:p>
  </w:endnote>
  <w:endnote w:id="11">
    <w:p w14:paraId="6A7BE727" w14:textId="77777777" w:rsidR="000B269D" w:rsidRPr="00FF0267" w:rsidRDefault="000B269D" w:rsidP="000B269D">
      <w:pPr>
        <w:pStyle w:val="Endnotentext"/>
        <w:rPr>
          <w:lang w:val="en-GB"/>
        </w:rPr>
      </w:pPr>
      <w:r w:rsidRPr="00FF0267">
        <w:rPr>
          <w:rStyle w:val="Endnotenzeichen"/>
          <w:i/>
          <w:iCs/>
          <w:sz w:val="16"/>
          <w:szCs w:val="16"/>
        </w:rPr>
        <w:endnoteRef/>
      </w:r>
      <w:r w:rsidRPr="00FF0267">
        <w:rPr>
          <w:i/>
          <w:iCs/>
          <w:sz w:val="16"/>
          <w:szCs w:val="16"/>
          <w:lang w:val="en-GB"/>
        </w:rPr>
        <w:t xml:space="preserve"> </w:t>
      </w:r>
      <w:r w:rsidR="00A53911">
        <w:fldChar w:fldCharType="begin"/>
      </w:r>
      <w:r w:rsidR="00A53911" w:rsidRPr="00D23F66">
        <w:rPr>
          <w:lang w:val="en-GB"/>
        </w:rPr>
        <w:instrText xml:space="preserve"> HYPERLINK "https://www.un.org/unispal/document/un-high-level-international-conference-new-york-declaration-29jul2025/" </w:instrText>
      </w:r>
      <w:r w:rsidR="00A53911">
        <w:fldChar w:fldCharType="separate"/>
      </w:r>
      <w:r w:rsidRPr="00FF0267">
        <w:rPr>
          <w:rStyle w:val="Hyperlink"/>
          <w:i/>
          <w:iCs/>
          <w:sz w:val="16"/>
          <w:szCs w:val="16"/>
          <w:lang w:val="en-GB"/>
        </w:rPr>
        <w:t>https://www.un.org/unispal/document/un-high-level-international-conference-new-york-declaration-29jul2025/</w:t>
      </w:r>
      <w:r w:rsidR="00A53911">
        <w:rPr>
          <w:rStyle w:val="Hyperlink"/>
          <w:i/>
          <w:iCs/>
          <w:sz w:val="16"/>
          <w:szCs w:val="16"/>
          <w:lang w:val="en-GB"/>
        </w:rPr>
        <w:fldChar w:fldCharType="end"/>
      </w:r>
      <w:r>
        <w:rPr>
          <w:sz w:val="16"/>
          <w:szCs w:val="16"/>
          <w:lang w:val="en-GB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14372" w14:textId="77777777" w:rsidR="0040547E" w:rsidRDefault="0040547E" w:rsidP="0040547E">
      <w:pPr>
        <w:spacing w:after="0" w:line="240" w:lineRule="auto"/>
      </w:pPr>
      <w:r>
        <w:separator/>
      </w:r>
    </w:p>
  </w:footnote>
  <w:footnote w:type="continuationSeparator" w:id="0">
    <w:p w14:paraId="6D3A1840" w14:textId="77777777" w:rsidR="0040547E" w:rsidRDefault="0040547E" w:rsidP="00405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5079A"/>
    <w:multiLevelType w:val="hybridMultilevel"/>
    <w:tmpl w:val="ED4E55CE"/>
    <w:lvl w:ilvl="0" w:tplc="1BEEB98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A6C57"/>
    <w:multiLevelType w:val="hybridMultilevel"/>
    <w:tmpl w:val="16B6CD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B3E13"/>
    <w:multiLevelType w:val="hybridMultilevel"/>
    <w:tmpl w:val="1E5869D4"/>
    <w:lvl w:ilvl="0" w:tplc="EED4D94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bCs/>
        <w:color w:val="ED7D31" w:themeColor="accen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1E486E"/>
    <w:multiLevelType w:val="hybridMultilevel"/>
    <w:tmpl w:val="EF9CF2D8"/>
    <w:lvl w:ilvl="0" w:tplc="1BEEB98C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47E"/>
    <w:rsid w:val="00043218"/>
    <w:rsid w:val="000B269D"/>
    <w:rsid w:val="00106D94"/>
    <w:rsid w:val="0013148E"/>
    <w:rsid w:val="002207BB"/>
    <w:rsid w:val="00270DC4"/>
    <w:rsid w:val="002B36E3"/>
    <w:rsid w:val="002D43D9"/>
    <w:rsid w:val="003C1821"/>
    <w:rsid w:val="0040547E"/>
    <w:rsid w:val="004C1A6E"/>
    <w:rsid w:val="004E2853"/>
    <w:rsid w:val="006E0FCE"/>
    <w:rsid w:val="007D734D"/>
    <w:rsid w:val="008F4D42"/>
    <w:rsid w:val="00986961"/>
    <w:rsid w:val="009F66FB"/>
    <w:rsid w:val="00A53911"/>
    <w:rsid w:val="00AB1F3E"/>
    <w:rsid w:val="00B91EFC"/>
    <w:rsid w:val="00D23F66"/>
    <w:rsid w:val="00E7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2009D"/>
  <w15:chartTrackingRefBased/>
  <w15:docId w15:val="{B5415782-CAC5-4DBB-ADA6-06639D450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0547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0547E"/>
    <w:rPr>
      <w:color w:val="0563C1" w:themeColor="hyperlink"/>
      <w:u w:val="single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40547E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40547E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40547E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05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undestag.de/abgeordnete/wahlkrei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1071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Soboh, Anja</dc:creator>
  <cp:keywords/>
  <dc:description/>
  <cp:lastModifiedBy>Soboh, Anja</cp:lastModifiedBy>
  <cp:revision>3</cp:revision>
  <dcterms:created xsi:type="dcterms:W3CDTF">2026-05-04T12:34:00Z</dcterms:created>
  <dcterms:modified xsi:type="dcterms:W3CDTF">2026-05-07T08:17:00Z</dcterms:modified>
</cp:coreProperties>
</file>